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F2259" w14:textId="7D5EF63F" w:rsidR="000E64F1" w:rsidRDefault="000270C6" w:rsidP="00D627F5">
      <w:pPr>
        <w:spacing w:line="480" w:lineRule="auto"/>
        <w:jc w:val="center"/>
        <w:rPr>
          <w:rFonts w:ascii="Times New Roman" w:hAnsi="Times New Roman" w:cs="Times New Roman"/>
          <w:b/>
          <w:sz w:val="24"/>
          <w:szCs w:val="24"/>
        </w:rPr>
      </w:pPr>
      <w:r w:rsidRPr="00D627F5">
        <w:rPr>
          <w:rFonts w:ascii="Times New Roman" w:hAnsi="Times New Roman" w:cs="Times New Roman"/>
          <w:b/>
          <w:sz w:val="24"/>
          <w:szCs w:val="24"/>
          <w:highlight w:val="yellow"/>
        </w:rPr>
        <w:t>ACC 202 – Project</w:t>
      </w:r>
    </w:p>
    <w:p w14:paraId="3F19CE1E" w14:textId="043CE6C2" w:rsidR="00D627F5" w:rsidRDefault="00D627F5" w:rsidP="00D627F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14:paraId="2F6D475E" w14:textId="0A1D33EA" w:rsidR="00D627F5" w:rsidRPr="00D627F5" w:rsidRDefault="00D627F5" w:rsidP="00D627F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Institution Affiliating </w:t>
      </w:r>
    </w:p>
    <w:p w14:paraId="47557D0F" w14:textId="77777777" w:rsidR="000270C6" w:rsidRPr="00D627F5" w:rsidRDefault="000270C6" w:rsidP="00D627F5">
      <w:pPr>
        <w:spacing w:line="480" w:lineRule="auto"/>
        <w:rPr>
          <w:rFonts w:ascii="Times New Roman" w:hAnsi="Times New Roman" w:cs="Times New Roman"/>
          <w:sz w:val="24"/>
          <w:szCs w:val="24"/>
        </w:rPr>
      </w:pPr>
    </w:p>
    <w:p w14:paraId="3FE47AFA" w14:textId="5B3C65D2" w:rsidR="000270C6" w:rsidRDefault="000270C6" w:rsidP="00D627F5">
      <w:pPr>
        <w:spacing w:line="480" w:lineRule="auto"/>
        <w:ind w:left="360"/>
        <w:rPr>
          <w:rFonts w:ascii="Times New Roman" w:hAnsi="Times New Roman" w:cs="Times New Roman"/>
          <w:sz w:val="24"/>
          <w:szCs w:val="24"/>
        </w:rPr>
      </w:pPr>
    </w:p>
    <w:p w14:paraId="371B0587" w14:textId="22AFD686" w:rsidR="00D627F5" w:rsidRDefault="00D627F5" w:rsidP="00D627F5">
      <w:pPr>
        <w:spacing w:line="480" w:lineRule="auto"/>
        <w:ind w:left="360"/>
        <w:rPr>
          <w:rFonts w:ascii="Times New Roman" w:hAnsi="Times New Roman" w:cs="Times New Roman"/>
          <w:sz w:val="24"/>
          <w:szCs w:val="24"/>
        </w:rPr>
      </w:pPr>
    </w:p>
    <w:p w14:paraId="4EC59B49" w14:textId="0DE319BD" w:rsidR="00D627F5" w:rsidRDefault="00D627F5" w:rsidP="00D627F5">
      <w:pPr>
        <w:spacing w:line="480" w:lineRule="auto"/>
        <w:ind w:left="360"/>
        <w:rPr>
          <w:rFonts w:ascii="Times New Roman" w:hAnsi="Times New Roman" w:cs="Times New Roman"/>
          <w:sz w:val="24"/>
          <w:szCs w:val="24"/>
        </w:rPr>
      </w:pPr>
    </w:p>
    <w:p w14:paraId="5C5F0F72" w14:textId="45E07390" w:rsidR="00D627F5" w:rsidRDefault="00D627F5" w:rsidP="00D627F5">
      <w:pPr>
        <w:spacing w:line="480" w:lineRule="auto"/>
        <w:ind w:left="360"/>
        <w:rPr>
          <w:rFonts w:ascii="Times New Roman" w:hAnsi="Times New Roman" w:cs="Times New Roman"/>
          <w:sz w:val="24"/>
          <w:szCs w:val="24"/>
        </w:rPr>
      </w:pPr>
    </w:p>
    <w:p w14:paraId="4EBE2B69" w14:textId="70943BA6" w:rsidR="00D627F5" w:rsidRDefault="00D627F5" w:rsidP="00D627F5">
      <w:pPr>
        <w:spacing w:line="480" w:lineRule="auto"/>
        <w:ind w:left="360"/>
        <w:rPr>
          <w:rFonts w:ascii="Times New Roman" w:hAnsi="Times New Roman" w:cs="Times New Roman"/>
          <w:sz w:val="24"/>
          <w:szCs w:val="24"/>
        </w:rPr>
      </w:pPr>
    </w:p>
    <w:p w14:paraId="01C14DB6" w14:textId="6FCF0313" w:rsidR="00D627F5" w:rsidRDefault="00D627F5" w:rsidP="00D627F5">
      <w:pPr>
        <w:spacing w:line="480" w:lineRule="auto"/>
        <w:ind w:left="360"/>
        <w:rPr>
          <w:rFonts w:ascii="Times New Roman" w:hAnsi="Times New Roman" w:cs="Times New Roman"/>
          <w:sz w:val="24"/>
          <w:szCs w:val="24"/>
        </w:rPr>
      </w:pPr>
    </w:p>
    <w:p w14:paraId="73B5E670" w14:textId="2456553E" w:rsidR="00D627F5" w:rsidRDefault="00D627F5" w:rsidP="00D627F5">
      <w:pPr>
        <w:spacing w:line="480" w:lineRule="auto"/>
        <w:ind w:left="360"/>
        <w:rPr>
          <w:rFonts w:ascii="Times New Roman" w:hAnsi="Times New Roman" w:cs="Times New Roman"/>
          <w:sz w:val="24"/>
          <w:szCs w:val="24"/>
        </w:rPr>
      </w:pPr>
    </w:p>
    <w:p w14:paraId="1F10FD6C" w14:textId="69D6E02A" w:rsidR="00D627F5" w:rsidRDefault="00D627F5" w:rsidP="00D627F5">
      <w:pPr>
        <w:spacing w:line="480" w:lineRule="auto"/>
        <w:ind w:left="360"/>
        <w:rPr>
          <w:rFonts w:ascii="Times New Roman" w:hAnsi="Times New Roman" w:cs="Times New Roman"/>
          <w:sz w:val="24"/>
          <w:szCs w:val="24"/>
        </w:rPr>
      </w:pPr>
    </w:p>
    <w:p w14:paraId="7362937B" w14:textId="27C0C8ED" w:rsidR="00D627F5" w:rsidRDefault="00D627F5" w:rsidP="00D627F5">
      <w:pPr>
        <w:spacing w:line="480" w:lineRule="auto"/>
        <w:ind w:left="360"/>
        <w:rPr>
          <w:rFonts w:ascii="Times New Roman" w:hAnsi="Times New Roman" w:cs="Times New Roman"/>
          <w:sz w:val="24"/>
          <w:szCs w:val="24"/>
        </w:rPr>
      </w:pPr>
    </w:p>
    <w:p w14:paraId="29E8EDA9" w14:textId="67F243C2" w:rsidR="00D627F5" w:rsidRDefault="00D627F5" w:rsidP="00D627F5">
      <w:pPr>
        <w:spacing w:line="480" w:lineRule="auto"/>
        <w:ind w:left="360"/>
        <w:rPr>
          <w:rFonts w:ascii="Times New Roman" w:hAnsi="Times New Roman" w:cs="Times New Roman"/>
          <w:sz w:val="24"/>
          <w:szCs w:val="24"/>
        </w:rPr>
      </w:pPr>
    </w:p>
    <w:p w14:paraId="541E61BC" w14:textId="2C985798" w:rsidR="00D627F5" w:rsidRDefault="00D627F5" w:rsidP="00D627F5">
      <w:pPr>
        <w:spacing w:line="480" w:lineRule="auto"/>
        <w:ind w:left="360"/>
        <w:rPr>
          <w:rFonts w:ascii="Times New Roman" w:hAnsi="Times New Roman" w:cs="Times New Roman"/>
          <w:sz w:val="24"/>
          <w:szCs w:val="24"/>
        </w:rPr>
      </w:pPr>
    </w:p>
    <w:p w14:paraId="6B652414" w14:textId="22260682" w:rsidR="00D627F5" w:rsidRDefault="00D627F5" w:rsidP="00D627F5">
      <w:pPr>
        <w:spacing w:line="480" w:lineRule="auto"/>
        <w:ind w:left="360"/>
        <w:rPr>
          <w:rFonts w:ascii="Times New Roman" w:hAnsi="Times New Roman" w:cs="Times New Roman"/>
          <w:sz w:val="24"/>
          <w:szCs w:val="24"/>
        </w:rPr>
      </w:pPr>
    </w:p>
    <w:p w14:paraId="27D46ACA" w14:textId="1B119EC0" w:rsidR="00D627F5" w:rsidRDefault="00D627F5" w:rsidP="00D627F5">
      <w:pPr>
        <w:spacing w:line="480" w:lineRule="auto"/>
        <w:ind w:left="360"/>
        <w:rPr>
          <w:rFonts w:ascii="Times New Roman" w:hAnsi="Times New Roman" w:cs="Times New Roman"/>
          <w:sz w:val="24"/>
          <w:szCs w:val="24"/>
        </w:rPr>
      </w:pPr>
    </w:p>
    <w:p w14:paraId="139DB39F" w14:textId="77777777" w:rsidR="00D627F5" w:rsidRPr="00D627F5" w:rsidRDefault="00D627F5" w:rsidP="00D627F5">
      <w:pPr>
        <w:spacing w:line="480" w:lineRule="auto"/>
        <w:rPr>
          <w:rFonts w:ascii="Times New Roman" w:hAnsi="Times New Roman" w:cs="Times New Roman"/>
          <w:sz w:val="24"/>
          <w:szCs w:val="24"/>
        </w:rPr>
      </w:pPr>
    </w:p>
    <w:p w14:paraId="5105731C" w14:textId="77777777" w:rsidR="000270C6" w:rsidRPr="00D627F5" w:rsidRDefault="00BD1584" w:rsidP="00D627F5">
      <w:pPr>
        <w:spacing w:line="480" w:lineRule="auto"/>
        <w:rPr>
          <w:rFonts w:ascii="Times New Roman" w:hAnsi="Times New Roman" w:cs="Times New Roman"/>
          <w:b/>
          <w:sz w:val="24"/>
          <w:szCs w:val="24"/>
        </w:rPr>
      </w:pPr>
      <w:r w:rsidRPr="00D627F5">
        <w:rPr>
          <w:rFonts w:ascii="Times New Roman" w:hAnsi="Times New Roman" w:cs="Times New Roman"/>
          <w:b/>
          <w:sz w:val="24"/>
          <w:szCs w:val="24"/>
        </w:rPr>
        <w:lastRenderedPageBreak/>
        <w:t>Long-term Liabilities:</w:t>
      </w:r>
    </w:p>
    <w:p w14:paraId="591DEB83" w14:textId="77777777" w:rsidR="000270C6" w:rsidRPr="00D627F5" w:rsidRDefault="000270C6"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Compute Debt-to-Assets and the Times Interest Earned Ratios of these two companies. Comment on the quality of these two ratio</w:t>
      </w:r>
      <w:r w:rsidR="00A30BC4" w:rsidRPr="00D627F5">
        <w:rPr>
          <w:rFonts w:ascii="Times New Roman" w:hAnsi="Times New Roman" w:cs="Times New Roman"/>
          <w:sz w:val="24"/>
          <w:szCs w:val="24"/>
        </w:rPr>
        <w:t>s</w:t>
      </w:r>
      <w:r w:rsidRPr="00D627F5">
        <w:rPr>
          <w:rFonts w:ascii="Times New Roman" w:hAnsi="Times New Roman" w:cs="Times New Roman"/>
          <w:sz w:val="24"/>
          <w:szCs w:val="24"/>
        </w:rPr>
        <w:t xml:space="preserve"> for the two companies.</w:t>
      </w:r>
    </w:p>
    <w:p w14:paraId="6BE0E178" w14:textId="77777777" w:rsidR="00BF2227" w:rsidRPr="00D627F5" w:rsidRDefault="00BF2227" w:rsidP="00D627F5">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876"/>
        <w:gridCol w:w="2877"/>
        <w:gridCol w:w="2877"/>
      </w:tblGrid>
      <w:tr w:rsidR="002875B1" w:rsidRPr="00D627F5" w14:paraId="6E97F930" w14:textId="77777777" w:rsidTr="005F2F3C">
        <w:tc>
          <w:tcPr>
            <w:tcW w:w="3116" w:type="dxa"/>
          </w:tcPr>
          <w:p w14:paraId="2D36B37A" w14:textId="77777777" w:rsidR="005F2F3C" w:rsidRPr="00D627F5" w:rsidRDefault="005F2F3C" w:rsidP="00D627F5">
            <w:pPr>
              <w:pStyle w:val="ListParagraph"/>
              <w:ind w:left="0"/>
              <w:rPr>
                <w:rFonts w:ascii="Times New Roman" w:hAnsi="Times New Roman" w:cs="Times New Roman"/>
                <w:sz w:val="24"/>
                <w:szCs w:val="24"/>
              </w:rPr>
            </w:pPr>
          </w:p>
        </w:tc>
        <w:tc>
          <w:tcPr>
            <w:tcW w:w="3117" w:type="dxa"/>
          </w:tcPr>
          <w:p w14:paraId="269024F7" w14:textId="77777777" w:rsidR="005F2F3C" w:rsidRPr="00D627F5" w:rsidRDefault="005F2F3C"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Coca- Cola</w:t>
            </w:r>
          </w:p>
        </w:tc>
        <w:tc>
          <w:tcPr>
            <w:tcW w:w="3117" w:type="dxa"/>
          </w:tcPr>
          <w:p w14:paraId="02E6E2D0" w14:textId="77777777" w:rsidR="005F2F3C" w:rsidRPr="00D627F5" w:rsidRDefault="005F2F3C"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Pepsi</w:t>
            </w:r>
          </w:p>
        </w:tc>
      </w:tr>
      <w:tr w:rsidR="002875B1" w:rsidRPr="00D627F5" w14:paraId="5FD2BAEC" w14:textId="77777777" w:rsidTr="005F2F3C">
        <w:tc>
          <w:tcPr>
            <w:tcW w:w="3116" w:type="dxa"/>
          </w:tcPr>
          <w:p w14:paraId="573F860C" w14:textId="77777777" w:rsidR="002875B1" w:rsidRPr="00D627F5" w:rsidRDefault="002875B1" w:rsidP="00D627F5">
            <w:pPr>
              <w:pStyle w:val="ListParagraph"/>
              <w:ind w:left="0"/>
              <w:rPr>
                <w:rFonts w:ascii="Times New Roman" w:hAnsi="Times New Roman" w:cs="Times New Roman"/>
                <w:sz w:val="24"/>
                <w:szCs w:val="24"/>
              </w:rPr>
            </w:pPr>
          </w:p>
        </w:tc>
        <w:tc>
          <w:tcPr>
            <w:tcW w:w="3117" w:type="dxa"/>
          </w:tcPr>
          <w:p w14:paraId="3B066296" w14:textId="77777777" w:rsidR="002875B1" w:rsidRPr="00D627F5" w:rsidRDefault="002875B1"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Amount (Millions)</w:t>
            </w:r>
          </w:p>
        </w:tc>
        <w:tc>
          <w:tcPr>
            <w:tcW w:w="3117" w:type="dxa"/>
          </w:tcPr>
          <w:p w14:paraId="7F00E15D" w14:textId="77777777" w:rsidR="002875B1" w:rsidRPr="00D627F5" w:rsidRDefault="002875B1"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Amount (Millions)</w:t>
            </w:r>
          </w:p>
        </w:tc>
      </w:tr>
      <w:tr w:rsidR="002875B1" w:rsidRPr="00D627F5" w14:paraId="49361F16" w14:textId="77777777" w:rsidTr="005F2F3C">
        <w:tc>
          <w:tcPr>
            <w:tcW w:w="3116" w:type="dxa"/>
          </w:tcPr>
          <w:p w14:paraId="3259DF9A" w14:textId="77777777" w:rsidR="005F2F3C" w:rsidRPr="00D627F5" w:rsidRDefault="002875B1"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Liabilities</w:t>
            </w:r>
          </w:p>
        </w:tc>
        <w:tc>
          <w:tcPr>
            <w:tcW w:w="3117" w:type="dxa"/>
          </w:tcPr>
          <w:p w14:paraId="3CE3F80E"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61461</w:t>
            </w:r>
          </w:p>
        </w:tc>
        <w:tc>
          <w:tcPr>
            <w:tcW w:w="3117" w:type="dxa"/>
          </w:tcPr>
          <w:p w14:paraId="10AFF426"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52961</w:t>
            </w:r>
          </w:p>
        </w:tc>
      </w:tr>
      <w:tr w:rsidR="002875B1" w:rsidRPr="00D627F5" w14:paraId="3902AADC" w14:textId="77777777" w:rsidTr="005F2F3C">
        <w:tc>
          <w:tcPr>
            <w:tcW w:w="3116" w:type="dxa"/>
          </w:tcPr>
          <w:p w14:paraId="3C535B32" w14:textId="77777777" w:rsidR="005F2F3C" w:rsidRPr="00D627F5" w:rsidRDefault="005F2F3C" w:rsidP="00D627F5">
            <w:pPr>
              <w:pStyle w:val="ListParagraph"/>
              <w:ind w:left="0"/>
              <w:rPr>
                <w:rFonts w:ascii="Times New Roman" w:hAnsi="Times New Roman" w:cs="Times New Roman"/>
                <w:sz w:val="24"/>
                <w:szCs w:val="24"/>
              </w:rPr>
            </w:pPr>
          </w:p>
        </w:tc>
        <w:tc>
          <w:tcPr>
            <w:tcW w:w="3117" w:type="dxa"/>
          </w:tcPr>
          <w:p w14:paraId="64DE5C96" w14:textId="77777777" w:rsidR="005F2F3C" w:rsidRPr="00D627F5" w:rsidRDefault="005F2F3C" w:rsidP="00D627F5">
            <w:pPr>
              <w:pStyle w:val="ListParagraph"/>
              <w:ind w:left="0"/>
              <w:rPr>
                <w:rFonts w:ascii="Times New Roman" w:hAnsi="Times New Roman" w:cs="Times New Roman"/>
                <w:sz w:val="24"/>
                <w:szCs w:val="24"/>
              </w:rPr>
            </w:pPr>
          </w:p>
        </w:tc>
        <w:tc>
          <w:tcPr>
            <w:tcW w:w="3117" w:type="dxa"/>
          </w:tcPr>
          <w:p w14:paraId="4192D503" w14:textId="77777777" w:rsidR="005F2F3C" w:rsidRPr="00D627F5" w:rsidRDefault="005F2F3C" w:rsidP="00D627F5">
            <w:pPr>
              <w:pStyle w:val="ListParagraph"/>
              <w:ind w:left="0"/>
              <w:rPr>
                <w:rFonts w:ascii="Times New Roman" w:hAnsi="Times New Roman" w:cs="Times New Roman"/>
                <w:sz w:val="24"/>
                <w:szCs w:val="24"/>
              </w:rPr>
            </w:pPr>
          </w:p>
        </w:tc>
      </w:tr>
      <w:tr w:rsidR="002875B1" w:rsidRPr="00D627F5" w14:paraId="347C91E0" w14:textId="77777777" w:rsidTr="005F2F3C">
        <w:tc>
          <w:tcPr>
            <w:tcW w:w="3116" w:type="dxa"/>
          </w:tcPr>
          <w:p w14:paraId="36617A70"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assets</w:t>
            </w:r>
          </w:p>
        </w:tc>
        <w:tc>
          <w:tcPr>
            <w:tcW w:w="3117" w:type="dxa"/>
          </w:tcPr>
          <w:p w14:paraId="54A2DD39"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92023</w:t>
            </w:r>
          </w:p>
        </w:tc>
        <w:tc>
          <w:tcPr>
            <w:tcW w:w="3117" w:type="dxa"/>
          </w:tcPr>
          <w:p w14:paraId="070DB8F0"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70509</w:t>
            </w:r>
          </w:p>
        </w:tc>
      </w:tr>
      <w:tr w:rsidR="002875B1" w:rsidRPr="00D627F5" w14:paraId="6E582964" w14:textId="77777777" w:rsidTr="005F2F3C">
        <w:tc>
          <w:tcPr>
            <w:tcW w:w="3116" w:type="dxa"/>
          </w:tcPr>
          <w:p w14:paraId="29F50B2E" w14:textId="77777777" w:rsidR="005F2F3C" w:rsidRPr="00D627F5" w:rsidRDefault="005F2F3C" w:rsidP="00D627F5">
            <w:pPr>
              <w:pStyle w:val="ListParagraph"/>
              <w:ind w:left="0"/>
              <w:rPr>
                <w:rFonts w:ascii="Times New Roman" w:hAnsi="Times New Roman" w:cs="Times New Roman"/>
                <w:sz w:val="24"/>
                <w:szCs w:val="24"/>
              </w:rPr>
            </w:pPr>
          </w:p>
        </w:tc>
        <w:tc>
          <w:tcPr>
            <w:tcW w:w="3117" w:type="dxa"/>
          </w:tcPr>
          <w:p w14:paraId="38BA9E28" w14:textId="77777777" w:rsidR="005F2F3C" w:rsidRPr="00D627F5" w:rsidRDefault="005F2F3C" w:rsidP="00D627F5">
            <w:pPr>
              <w:pStyle w:val="ListParagraph"/>
              <w:ind w:left="0"/>
              <w:rPr>
                <w:rFonts w:ascii="Times New Roman" w:hAnsi="Times New Roman" w:cs="Times New Roman"/>
                <w:sz w:val="24"/>
                <w:szCs w:val="24"/>
              </w:rPr>
            </w:pPr>
          </w:p>
        </w:tc>
        <w:tc>
          <w:tcPr>
            <w:tcW w:w="3117" w:type="dxa"/>
          </w:tcPr>
          <w:p w14:paraId="6A523214" w14:textId="77777777" w:rsidR="005F2F3C" w:rsidRPr="00D627F5" w:rsidRDefault="005F2F3C" w:rsidP="00D627F5">
            <w:pPr>
              <w:pStyle w:val="ListParagraph"/>
              <w:ind w:left="0"/>
              <w:rPr>
                <w:rFonts w:ascii="Times New Roman" w:hAnsi="Times New Roman" w:cs="Times New Roman"/>
                <w:sz w:val="24"/>
                <w:szCs w:val="24"/>
              </w:rPr>
            </w:pPr>
          </w:p>
        </w:tc>
      </w:tr>
      <w:tr w:rsidR="002875B1" w:rsidRPr="00D627F5" w14:paraId="41A30430" w14:textId="77777777" w:rsidTr="005F2F3C">
        <w:tc>
          <w:tcPr>
            <w:tcW w:w="3116" w:type="dxa"/>
          </w:tcPr>
          <w:p w14:paraId="4738D265"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Debt  to asset ratio</w:t>
            </w:r>
          </w:p>
        </w:tc>
        <w:tc>
          <w:tcPr>
            <w:tcW w:w="3117" w:type="dxa"/>
          </w:tcPr>
          <w:p w14:paraId="69EC4A46"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0.678</w:t>
            </w:r>
          </w:p>
        </w:tc>
        <w:tc>
          <w:tcPr>
            <w:tcW w:w="3117" w:type="dxa"/>
          </w:tcPr>
          <w:p w14:paraId="28EA5A9D" w14:textId="77777777" w:rsidR="005F2F3C" w:rsidRPr="00D627F5" w:rsidRDefault="0057480D"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0.751</w:t>
            </w:r>
          </w:p>
        </w:tc>
      </w:tr>
    </w:tbl>
    <w:p w14:paraId="25E48666" w14:textId="59B89A4A" w:rsidR="0057480D" w:rsidRDefault="00CC36C7" w:rsidP="00D627F5">
      <w:pPr>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 The  debt t</w:t>
      </w:r>
      <w:r w:rsidR="00D627F5">
        <w:rPr>
          <w:rFonts w:ascii="Times New Roman" w:hAnsi="Times New Roman" w:cs="Times New Roman"/>
          <w:sz w:val="24"/>
          <w:szCs w:val="24"/>
        </w:rPr>
        <w:t>o</w:t>
      </w:r>
      <w:r w:rsidRPr="00D627F5">
        <w:rPr>
          <w:rFonts w:ascii="Times New Roman" w:hAnsi="Times New Roman" w:cs="Times New Roman"/>
          <w:sz w:val="24"/>
          <w:szCs w:val="24"/>
        </w:rPr>
        <w:t xml:space="preserve"> asset ratio  measures the financial leverage of the company.  From the above analyst, 67.8% of the  Coca-Cola’s assets are  financed by  debt while 75.1%  of the  Pepsi’s assets are financed by debt. Pepsi  uses much debt in financing its assets as compared to Coca-Cola.</w:t>
      </w:r>
    </w:p>
    <w:p w14:paraId="1A03EFD6" w14:textId="2414AE40" w:rsidR="00D627F5" w:rsidRDefault="00D627F5" w:rsidP="00D627F5">
      <w:pPr>
        <w:spacing w:line="480" w:lineRule="auto"/>
        <w:rPr>
          <w:rFonts w:ascii="Times New Roman" w:hAnsi="Times New Roman" w:cs="Times New Roman"/>
          <w:sz w:val="24"/>
          <w:szCs w:val="24"/>
        </w:rPr>
      </w:pPr>
    </w:p>
    <w:p w14:paraId="486D87FE" w14:textId="77777777" w:rsidR="00D627F5" w:rsidRPr="00D627F5" w:rsidRDefault="00D627F5" w:rsidP="00D627F5">
      <w:pPr>
        <w:spacing w:line="480" w:lineRule="auto"/>
        <w:rPr>
          <w:rFonts w:ascii="Times New Roman" w:hAnsi="Times New Roman" w:cs="Times New Roman"/>
          <w:sz w:val="24"/>
          <w:szCs w:val="24"/>
        </w:rPr>
      </w:pPr>
    </w:p>
    <w:p w14:paraId="4B04AC2E" w14:textId="77777777" w:rsidR="0057480D" w:rsidRPr="00D627F5" w:rsidRDefault="0057480D" w:rsidP="00D627F5">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785"/>
        <w:gridCol w:w="2070"/>
        <w:gridCol w:w="2250"/>
      </w:tblGrid>
      <w:tr w:rsidR="00D627F5" w:rsidRPr="00D627F5" w14:paraId="5646B2ED" w14:textId="77777777" w:rsidTr="00D627F5">
        <w:tc>
          <w:tcPr>
            <w:tcW w:w="2785" w:type="dxa"/>
          </w:tcPr>
          <w:p w14:paraId="0D4E323D" w14:textId="77777777" w:rsidR="00D627F5" w:rsidRPr="00D627F5" w:rsidRDefault="00D627F5" w:rsidP="00D627F5">
            <w:pPr>
              <w:pStyle w:val="ListParagraph"/>
              <w:ind w:left="0"/>
              <w:rPr>
                <w:rFonts w:ascii="Times New Roman" w:hAnsi="Times New Roman" w:cs="Times New Roman"/>
                <w:sz w:val="24"/>
                <w:szCs w:val="24"/>
              </w:rPr>
            </w:pPr>
          </w:p>
        </w:tc>
        <w:tc>
          <w:tcPr>
            <w:tcW w:w="2070" w:type="dxa"/>
          </w:tcPr>
          <w:p w14:paraId="0BE9F341"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Coca-Cola</w:t>
            </w:r>
          </w:p>
        </w:tc>
        <w:tc>
          <w:tcPr>
            <w:tcW w:w="2250" w:type="dxa"/>
          </w:tcPr>
          <w:p w14:paraId="2925B4B8"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Pepsi</w:t>
            </w:r>
          </w:p>
        </w:tc>
      </w:tr>
      <w:tr w:rsidR="00D627F5" w:rsidRPr="00D627F5" w14:paraId="79BD3EB6" w14:textId="77777777" w:rsidTr="00D627F5">
        <w:tc>
          <w:tcPr>
            <w:tcW w:w="2785" w:type="dxa"/>
          </w:tcPr>
          <w:p w14:paraId="714AFEDE" w14:textId="77777777" w:rsidR="00D627F5" w:rsidRPr="00D627F5" w:rsidRDefault="00D627F5" w:rsidP="00D627F5">
            <w:pPr>
              <w:pStyle w:val="ListParagraph"/>
              <w:ind w:left="0"/>
              <w:rPr>
                <w:rFonts w:ascii="Times New Roman" w:hAnsi="Times New Roman" w:cs="Times New Roman"/>
                <w:sz w:val="24"/>
                <w:szCs w:val="24"/>
              </w:rPr>
            </w:pPr>
          </w:p>
        </w:tc>
        <w:tc>
          <w:tcPr>
            <w:tcW w:w="2070" w:type="dxa"/>
          </w:tcPr>
          <w:p w14:paraId="65208381" w14:textId="77777777" w:rsidR="00D627F5" w:rsidRPr="00D627F5" w:rsidRDefault="00D627F5" w:rsidP="00D627F5">
            <w:pPr>
              <w:pStyle w:val="ListParagraph"/>
              <w:ind w:left="0"/>
              <w:rPr>
                <w:rFonts w:ascii="Times New Roman" w:hAnsi="Times New Roman" w:cs="Times New Roman"/>
                <w:sz w:val="24"/>
                <w:szCs w:val="24"/>
              </w:rPr>
            </w:pPr>
          </w:p>
        </w:tc>
        <w:tc>
          <w:tcPr>
            <w:tcW w:w="2250" w:type="dxa"/>
          </w:tcPr>
          <w:p w14:paraId="2B61EB9E" w14:textId="77777777" w:rsidR="00D627F5" w:rsidRPr="00D627F5" w:rsidRDefault="00D627F5" w:rsidP="00D627F5">
            <w:pPr>
              <w:pStyle w:val="ListParagraph"/>
              <w:ind w:left="0"/>
              <w:rPr>
                <w:rFonts w:ascii="Times New Roman" w:hAnsi="Times New Roman" w:cs="Times New Roman"/>
                <w:sz w:val="24"/>
                <w:szCs w:val="24"/>
              </w:rPr>
            </w:pPr>
          </w:p>
        </w:tc>
      </w:tr>
      <w:tr w:rsidR="00D627F5" w:rsidRPr="00D627F5" w14:paraId="31CC85FE" w14:textId="77777777" w:rsidTr="00D627F5">
        <w:tc>
          <w:tcPr>
            <w:tcW w:w="2785" w:type="dxa"/>
          </w:tcPr>
          <w:p w14:paraId="6C1BD35C"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 xml:space="preserve">EBIT </w:t>
            </w:r>
          </w:p>
        </w:tc>
        <w:tc>
          <w:tcPr>
            <w:tcW w:w="2070" w:type="dxa"/>
          </w:tcPr>
          <w:p w14:paraId="02886B62"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9325</w:t>
            </w:r>
          </w:p>
        </w:tc>
        <w:tc>
          <w:tcPr>
            <w:tcW w:w="2250" w:type="dxa"/>
          </w:tcPr>
          <w:p w14:paraId="468C44ED"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8757</w:t>
            </w:r>
          </w:p>
        </w:tc>
      </w:tr>
      <w:tr w:rsidR="00D627F5" w:rsidRPr="00D627F5" w14:paraId="181F3D67" w14:textId="77777777" w:rsidTr="00D627F5">
        <w:tc>
          <w:tcPr>
            <w:tcW w:w="2785" w:type="dxa"/>
          </w:tcPr>
          <w:p w14:paraId="0E3D417C" w14:textId="77777777" w:rsidR="00D627F5" w:rsidRPr="00D627F5" w:rsidRDefault="00D627F5" w:rsidP="00D627F5">
            <w:pPr>
              <w:pStyle w:val="ListParagraph"/>
              <w:ind w:left="0"/>
              <w:rPr>
                <w:rFonts w:ascii="Times New Roman" w:hAnsi="Times New Roman" w:cs="Times New Roman"/>
                <w:sz w:val="24"/>
                <w:szCs w:val="24"/>
              </w:rPr>
            </w:pPr>
          </w:p>
        </w:tc>
        <w:tc>
          <w:tcPr>
            <w:tcW w:w="2070" w:type="dxa"/>
          </w:tcPr>
          <w:p w14:paraId="5F05EE36" w14:textId="77777777" w:rsidR="00D627F5" w:rsidRPr="00D627F5" w:rsidRDefault="00D627F5" w:rsidP="00D627F5">
            <w:pPr>
              <w:pStyle w:val="ListParagraph"/>
              <w:ind w:left="0"/>
              <w:rPr>
                <w:rFonts w:ascii="Times New Roman" w:hAnsi="Times New Roman" w:cs="Times New Roman"/>
                <w:sz w:val="24"/>
                <w:szCs w:val="24"/>
              </w:rPr>
            </w:pPr>
          </w:p>
        </w:tc>
        <w:tc>
          <w:tcPr>
            <w:tcW w:w="2250" w:type="dxa"/>
          </w:tcPr>
          <w:p w14:paraId="0190885B" w14:textId="77777777" w:rsidR="00D627F5" w:rsidRPr="00D627F5" w:rsidRDefault="00D627F5" w:rsidP="00D627F5">
            <w:pPr>
              <w:pStyle w:val="ListParagraph"/>
              <w:ind w:left="0"/>
              <w:rPr>
                <w:rFonts w:ascii="Times New Roman" w:hAnsi="Times New Roman" w:cs="Times New Roman"/>
                <w:sz w:val="24"/>
                <w:szCs w:val="24"/>
              </w:rPr>
            </w:pPr>
          </w:p>
        </w:tc>
      </w:tr>
      <w:tr w:rsidR="00D627F5" w:rsidRPr="00D627F5" w14:paraId="541DCCED" w14:textId="77777777" w:rsidTr="00D627F5">
        <w:tc>
          <w:tcPr>
            <w:tcW w:w="2785" w:type="dxa"/>
          </w:tcPr>
          <w:p w14:paraId="01836766"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 xml:space="preserve">Interest Expense </w:t>
            </w:r>
          </w:p>
        </w:tc>
        <w:tc>
          <w:tcPr>
            <w:tcW w:w="2070" w:type="dxa"/>
          </w:tcPr>
          <w:p w14:paraId="29225267"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483</w:t>
            </w:r>
          </w:p>
        </w:tc>
        <w:tc>
          <w:tcPr>
            <w:tcW w:w="2250" w:type="dxa"/>
          </w:tcPr>
          <w:p w14:paraId="24C0028D"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909</w:t>
            </w:r>
          </w:p>
        </w:tc>
      </w:tr>
      <w:tr w:rsidR="00D627F5" w:rsidRPr="00D627F5" w14:paraId="3F73F7EE" w14:textId="77777777" w:rsidTr="00D627F5">
        <w:tc>
          <w:tcPr>
            <w:tcW w:w="2785" w:type="dxa"/>
          </w:tcPr>
          <w:p w14:paraId="164B815C" w14:textId="77777777" w:rsidR="00D627F5" w:rsidRPr="00D627F5" w:rsidRDefault="00D627F5" w:rsidP="00D627F5">
            <w:pPr>
              <w:pStyle w:val="ListParagraph"/>
              <w:ind w:left="0"/>
              <w:rPr>
                <w:rFonts w:ascii="Times New Roman" w:hAnsi="Times New Roman" w:cs="Times New Roman"/>
                <w:sz w:val="24"/>
                <w:szCs w:val="24"/>
              </w:rPr>
            </w:pPr>
          </w:p>
        </w:tc>
        <w:tc>
          <w:tcPr>
            <w:tcW w:w="2070" w:type="dxa"/>
          </w:tcPr>
          <w:p w14:paraId="69AE510E" w14:textId="77777777" w:rsidR="00D627F5" w:rsidRPr="00D627F5" w:rsidRDefault="00D627F5" w:rsidP="00D627F5">
            <w:pPr>
              <w:pStyle w:val="ListParagraph"/>
              <w:ind w:left="0"/>
              <w:rPr>
                <w:rFonts w:ascii="Times New Roman" w:hAnsi="Times New Roman" w:cs="Times New Roman"/>
                <w:sz w:val="24"/>
                <w:szCs w:val="24"/>
              </w:rPr>
            </w:pPr>
          </w:p>
        </w:tc>
        <w:tc>
          <w:tcPr>
            <w:tcW w:w="2250" w:type="dxa"/>
          </w:tcPr>
          <w:p w14:paraId="5F686D7C" w14:textId="77777777" w:rsidR="00D627F5" w:rsidRPr="00D627F5" w:rsidRDefault="00D627F5" w:rsidP="00D627F5">
            <w:pPr>
              <w:pStyle w:val="ListParagraph"/>
              <w:ind w:left="0"/>
              <w:rPr>
                <w:rFonts w:ascii="Times New Roman" w:hAnsi="Times New Roman" w:cs="Times New Roman"/>
                <w:sz w:val="24"/>
                <w:szCs w:val="24"/>
              </w:rPr>
            </w:pPr>
          </w:p>
        </w:tc>
      </w:tr>
      <w:tr w:rsidR="00D627F5" w:rsidRPr="00D627F5" w14:paraId="35CC7819" w14:textId="77777777" w:rsidTr="00D627F5">
        <w:tc>
          <w:tcPr>
            <w:tcW w:w="2785" w:type="dxa"/>
          </w:tcPr>
          <w:p w14:paraId="5EFB400C"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 xml:space="preserve">Time interest Earned </w:t>
            </w:r>
          </w:p>
        </w:tc>
        <w:tc>
          <w:tcPr>
            <w:tcW w:w="2070" w:type="dxa"/>
          </w:tcPr>
          <w:p w14:paraId="67D4FD59"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19.306</w:t>
            </w:r>
          </w:p>
        </w:tc>
        <w:tc>
          <w:tcPr>
            <w:tcW w:w="2250" w:type="dxa"/>
          </w:tcPr>
          <w:p w14:paraId="71083C3C" w14:textId="77777777" w:rsidR="00D627F5" w:rsidRPr="00D627F5" w:rsidRDefault="00D627F5" w:rsidP="00D627F5">
            <w:pPr>
              <w:pStyle w:val="ListParagraph"/>
              <w:ind w:left="0"/>
              <w:rPr>
                <w:rFonts w:ascii="Times New Roman" w:hAnsi="Times New Roman" w:cs="Times New Roman"/>
                <w:sz w:val="24"/>
                <w:szCs w:val="24"/>
              </w:rPr>
            </w:pPr>
            <w:r w:rsidRPr="00D627F5">
              <w:rPr>
                <w:rFonts w:ascii="Times New Roman" w:hAnsi="Times New Roman" w:cs="Times New Roman"/>
                <w:sz w:val="24"/>
                <w:szCs w:val="24"/>
              </w:rPr>
              <w:t>9.633</w:t>
            </w:r>
          </w:p>
        </w:tc>
      </w:tr>
    </w:tbl>
    <w:p w14:paraId="00281C18" w14:textId="77777777" w:rsidR="0057480D" w:rsidRPr="00D627F5" w:rsidRDefault="0057480D" w:rsidP="00D627F5">
      <w:pPr>
        <w:pStyle w:val="ListParagraph"/>
        <w:spacing w:line="480" w:lineRule="auto"/>
        <w:rPr>
          <w:rFonts w:ascii="Times New Roman" w:hAnsi="Times New Roman" w:cs="Times New Roman"/>
          <w:sz w:val="24"/>
          <w:szCs w:val="24"/>
        </w:rPr>
      </w:pPr>
    </w:p>
    <w:p w14:paraId="1DCA835C" w14:textId="16B4683F" w:rsidR="00CC36C7" w:rsidRPr="00D627F5" w:rsidRDefault="00CC36C7"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The times interest ratio shows the  interest paying </w:t>
      </w:r>
      <w:r w:rsidR="002D3448" w:rsidRPr="00D627F5">
        <w:rPr>
          <w:rFonts w:ascii="Times New Roman" w:hAnsi="Times New Roman" w:cs="Times New Roman"/>
          <w:sz w:val="24"/>
          <w:szCs w:val="24"/>
        </w:rPr>
        <w:t>company</w:t>
      </w:r>
      <w:r w:rsidRPr="00D627F5">
        <w:rPr>
          <w:rFonts w:ascii="Times New Roman" w:hAnsi="Times New Roman" w:cs="Times New Roman"/>
          <w:sz w:val="24"/>
          <w:szCs w:val="24"/>
        </w:rPr>
        <w:t xml:space="preserve">  of the company.  Coca Cola has  higher  interest paying capacity than </w:t>
      </w:r>
      <w:r w:rsidR="002D3448" w:rsidRPr="00D627F5">
        <w:rPr>
          <w:rFonts w:ascii="Times New Roman" w:hAnsi="Times New Roman" w:cs="Times New Roman"/>
          <w:sz w:val="24"/>
          <w:szCs w:val="24"/>
        </w:rPr>
        <w:t>Pepsi</w:t>
      </w:r>
      <w:r w:rsidRPr="00D627F5">
        <w:rPr>
          <w:rFonts w:ascii="Times New Roman" w:hAnsi="Times New Roman" w:cs="Times New Roman"/>
          <w:sz w:val="24"/>
          <w:szCs w:val="24"/>
        </w:rPr>
        <w:t>.</w:t>
      </w:r>
    </w:p>
    <w:p w14:paraId="7D1E3490" w14:textId="221003BE" w:rsidR="000270C6" w:rsidRPr="00D627F5" w:rsidRDefault="000270C6"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lastRenderedPageBreak/>
        <w:t>What is the difference between the fair value and the carrying amount of each company’s debt at year end of 2014? Why might a difference exist in these two amounts?</w:t>
      </w:r>
    </w:p>
    <w:p w14:paraId="48AF123F" w14:textId="091CEF8D" w:rsidR="00BF2227" w:rsidRPr="00D627F5" w:rsidRDefault="002D3448"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The </w:t>
      </w:r>
      <w:r w:rsidR="00AF6E40" w:rsidRPr="00D627F5">
        <w:rPr>
          <w:rFonts w:ascii="Times New Roman" w:hAnsi="Times New Roman" w:cs="Times New Roman"/>
          <w:sz w:val="24"/>
          <w:szCs w:val="24"/>
        </w:rPr>
        <w:t>difference</w:t>
      </w:r>
      <w:r w:rsidRPr="00D627F5">
        <w:rPr>
          <w:rFonts w:ascii="Times New Roman" w:hAnsi="Times New Roman" w:cs="Times New Roman"/>
          <w:sz w:val="24"/>
          <w:szCs w:val="24"/>
        </w:rPr>
        <w:t xml:space="preserve"> between the fair and  carrying value of the  two  amounts can be attributed to the</w:t>
      </w:r>
      <w:r w:rsidR="00AF6E40" w:rsidRPr="00D627F5">
        <w:rPr>
          <w:rFonts w:ascii="Times New Roman" w:hAnsi="Times New Roman" w:cs="Times New Roman"/>
          <w:sz w:val="24"/>
          <w:szCs w:val="24"/>
        </w:rPr>
        <w:t xml:space="preserve">  difference between the market  value and  book value of the bond. The  carrying amount of the  debt shows the  actual amount of the debt  which the  companies are  obliged to pay to the creditors. On the other hand, the  fair value reflects the  present value that is based on the  current discount rate at the market. It is therefore the market price of the bond.</w:t>
      </w:r>
    </w:p>
    <w:p w14:paraId="7F5BDF36" w14:textId="3C91EA43" w:rsidR="000270C6" w:rsidRPr="00D627F5" w:rsidRDefault="000270C6"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Both companies have debt issued in foreign countries. Discuss why these two companies may use foreign debt to finance their operation. What risks are involved in this strategy, and how might they adjust for this risk?</w:t>
      </w:r>
    </w:p>
    <w:p w14:paraId="76717E9D" w14:textId="79B977F8" w:rsidR="00AF6E40" w:rsidRPr="00D627F5" w:rsidRDefault="00065A48"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One  of the reasons is that the foreign  debt hedges  foreign exchange  exposures.  Hedging  reduces financial distress and taxes. In addition, borrowing from other countries  helps in reducing the costs of borrowing  because the debts in the foreign currencies may be less costly than the domestic currency.  It helps in  </w:t>
      </w:r>
      <w:r w:rsidR="00A73471" w:rsidRPr="00D627F5">
        <w:rPr>
          <w:rFonts w:ascii="Times New Roman" w:hAnsi="Times New Roman" w:cs="Times New Roman"/>
          <w:sz w:val="24"/>
          <w:szCs w:val="24"/>
        </w:rPr>
        <w:t>circumventing</w:t>
      </w:r>
      <w:r w:rsidRPr="00D627F5">
        <w:rPr>
          <w:rFonts w:ascii="Times New Roman" w:hAnsi="Times New Roman" w:cs="Times New Roman"/>
          <w:sz w:val="24"/>
          <w:szCs w:val="24"/>
        </w:rPr>
        <w:t xml:space="preserve"> the  withholding taxes and the  capital controls that is  issued by the  governments hence more economical.</w:t>
      </w:r>
      <w:r w:rsidR="00A73471" w:rsidRPr="00D627F5">
        <w:rPr>
          <w:rFonts w:ascii="Times New Roman" w:hAnsi="Times New Roman" w:cs="Times New Roman"/>
          <w:sz w:val="24"/>
          <w:szCs w:val="24"/>
        </w:rPr>
        <w:t xml:space="preserve"> It makes the companies to be known internationally, posing a positive reputation and attracting more investors and opportunities. This is because  foreign debts </w:t>
      </w:r>
      <w:r w:rsidR="00D627F5" w:rsidRPr="00D627F5">
        <w:rPr>
          <w:rFonts w:ascii="Times New Roman" w:hAnsi="Times New Roman" w:cs="Times New Roman"/>
          <w:sz w:val="24"/>
          <w:szCs w:val="24"/>
        </w:rPr>
        <w:t>increase</w:t>
      </w:r>
      <w:r w:rsidR="00A73471" w:rsidRPr="00D627F5">
        <w:rPr>
          <w:rFonts w:ascii="Times New Roman" w:hAnsi="Times New Roman" w:cs="Times New Roman"/>
          <w:sz w:val="24"/>
          <w:szCs w:val="24"/>
        </w:rPr>
        <w:t xml:space="preserve"> the financial globalization. Its means of influencing companies to adopt better  policies trough external foreign influence and strong  commitment. Currency fluctuations is  one of the greatest risks associated with  foreign  debts. This is because the </w:t>
      </w:r>
      <w:r w:rsidR="00BF6E42" w:rsidRPr="00D627F5">
        <w:rPr>
          <w:rFonts w:ascii="Times New Roman" w:hAnsi="Times New Roman" w:cs="Times New Roman"/>
          <w:sz w:val="24"/>
          <w:szCs w:val="24"/>
        </w:rPr>
        <w:t xml:space="preserve"> company is forced to  pay  the investors in the currency which they have no control, and the fluctuation in exchange rates may highly cost the company  raising the cost of the debt. </w:t>
      </w:r>
      <w:r w:rsidR="00BF6E42" w:rsidRPr="00D627F5">
        <w:rPr>
          <w:rFonts w:ascii="Times New Roman" w:hAnsi="Times New Roman" w:cs="Times New Roman"/>
          <w:sz w:val="24"/>
          <w:szCs w:val="24"/>
        </w:rPr>
        <w:lastRenderedPageBreak/>
        <w:t xml:space="preserve">Floating of exchange rate and  depreciation  may thus cause bankruptcies. To manage this risk, the company should </w:t>
      </w:r>
      <w:r w:rsidR="00D627F5" w:rsidRPr="00D627F5">
        <w:rPr>
          <w:rFonts w:ascii="Times New Roman" w:hAnsi="Times New Roman" w:cs="Times New Roman"/>
          <w:sz w:val="24"/>
          <w:szCs w:val="24"/>
        </w:rPr>
        <w:t>manage</w:t>
      </w:r>
      <w:r w:rsidR="003427F2" w:rsidRPr="00D627F5">
        <w:rPr>
          <w:rFonts w:ascii="Times New Roman" w:hAnsi="Times New Roman" w:cs="Times New Roman"/>
          <w:sz w:val="24"/>
          <w:szCs w:val="24"/>
        </w:rPr>
        <w:t xml:space="preserve"> through  debt diversification.</w:t>
      </w:r>
    </w:p>
    <w:p w14:paraId="028F2324" w14:textId="77777777" w:rsidR="00BD1584" w:rsidRPr="00D627F5" w:rsidRDefault="00BD1584" w:rsidP="00D627F5">
      <w:pPr>
        <w:spacing w:line="480" w:lineRule="auto"/>
        <w:rPr>
          <w:rFonts w:ascii="Times New Roman" w:hAnsi="Times New Roman" w:cs="Times New Roman"/>
          <w:b/>
          <w:sz w:val="24"/>
          <w:szCs w:val="24"/>
        </w:rPr>
      </w:pPr>
      <w:r w:rsidRPr="00D627F5">
        <w:rPr>
          <w:rFonts w:ascii="Times New Roman" w:hAnsi="Times New Roman" w:cs="Times New Roman"/>
          <w:b/>
          <w:sz w:val="24"/>
          <w:szCs w:val="24"/>
        </w:rPr>
        <w:t>Stockholder’s Equity:</w:t>
      </w:r>
    </w:p>
    <w:p w14:paraId="4843CDC1" w14:textId="64A812C6" w:rsidR="000270C6"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What is the par or stated value of KO’s and PEP’s common or capital stock?</w:t>
      </w:r>
    </w:p>
    <w:p w14:paraId="1EE52A98" w14:textId="5B22502C" w:rsidR="003427F2" w:rsidRPr="00D627F5" w:rsidRDefault="003427F2"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KO’s  common  stock is </w:t>
      </w:r>
      <w:r w:rsidR="006F17FD" w:rsidRPr="00D627F5">
        <w:rPr>
          <w:rFonts w:ascii="Times New Roman" w:hAnsi="Times New Roman" w:cs="Times New Roman"/>
          <w:sz w:val="24"/>
          <w:szCs w:val="24"/>
        </w:rPr>
        <w:t xml:space="preserve"> $ 0.25 </w:t>
      </w:r>
      <w:r w:rsidRPr="00D627F5">
        <w:rPr>
          <w:rFonts w:ascii="Times New Roman" w:hAnsi="Times New Roman" w:cs="Times New Roman"/>
          <w:sz w:val="24"/>
          <w:szCs w:val="24"/>
        </w:rPr>
        <w:t xml:space="preserve">while that of PEP is </w:t>
      </w:r>
      <w:r w:rsidR="006F17FD" w:rsidRPr="00D627F5">
        <w:rPr>
          <w:rFonts w:ascii="Times New Roman" w:hAnsi="Times New Roman" w:cs="Times New Roman"/>
          <w:sz w:val="24"/>
          <w:szCs w:val="24"/>
        </w:rPr>
        <w:t>$0.0167</w:t>
      </w:r>
    </w:p>
    <w:p w14:paraId="2D2A211B" w14:textId="1E4553AF" w:rsidR="003427F2" w:rsidRPr="00D627F5" w:rsidRDefault="003427F2" w:rsidP="00D627F5">
      <w:pPr>
        <w:pStyle w:val="ListParagraph"/>
        <w:spacing w:line="480" w:lineRule="auto"/>
        <w:rPr>
          <w:rFonts w:ascii="Times New Roman" w:hAnsi="Times New Roman" w:cs="Times New Roman"/>
          <w:sz w:val="24"/>
          <w:szCs w:val="24"/>
        </w:rPr>
      </w:pPr>
    </w:p>
    <w:p w14:paraId="2B2D53E9" w14:textId="7C9F47D8" w:rsidR="006F17FD"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What percentage of authorized shares was issued by KO and PEP at 12/31/2014?</w:t>
      </w:r>
    </w:p>
    <w:p w14:paraId="059411D9" w14:textId="071DD9FE" w:rsidR="00CC35AD" w:rsidRPr="00D627F5" w:rsidRDefault="00CC35A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 issued for PEP = issued shares/ authorized shares</w:t>
      </w:r>
    </w:p>
    <w:p w14:paraId="1F408F63" w14:textId="36019582" w:rsidR="00CC35AD" w:rsidRPr="00D627F5" w:rsidRDefault="00CC35A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ab/>
      </w:r>
      <w:r w:rsidRPr="00D627F5">
        <w:rPr>
          <w:rFonts w:ascii="Times New Roman" w:hAnsi="Times New Roman" w:cs="Times New Roman"/>
          <w:sz w:val="24"/>
          <w:szCs w:val="24"/>
        </w:rPr>
        <w:tab/>
      </w:r>
      <w:r w:rsidRPr="00D627F5">
        <w:rPr>
          <w:rFonts w:ascii="Times New Roman" w:hAnsi="Times New Roman" w:cs="Times New Roman"/>
          <w:sz w:val="24"/>
          <w:szCs w:val="24"/>
        </w:rPr>
        <w:tab/>
        <w:t>(7040/11200)*100</w:t>
      </w:r>
    </w:p>
    <w:p w14:paraId="75D15C5D" w14:textId="028D31B8" w:rsidR="00CC35AD" w:rsidRPr="00D627F5" w:rsidRDefault="00CC35A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ab/>
      </w:r>
      <w:r w:rsidRPr="00D627F5">
        <w:rPr>
          <w:rFonts w:ascii="Times New Roman" w:hAnsi="Times New Roman" w:cs="Times New Roman"/>
          <w:sz w:val="24"/>
          <w:szCs w:val="24"/>
        </w:rPr>
        <w:tab/>
      </w:r>
      <w:r w:rsidRPr="00D627F5">
        <w:rPr>
          <w:rFonts w:ascii="Times New Roman" w:hAnsi="Times New Roman" w:cs="Times New Roman"/>
          <w:sz w:val="24"/>
          <w:szCs w:val="24"/>
        </w:rPr>
        <w:tab/>
        <w:t>15.54%</w:t>
      </w:r>
    </w:p>
    <w:p w14:paraId="09D32C9D" w14:textId="6B54456B" w:rsidR="006F17FD" w:rsidRPr="00D627F5" w:rsidRDefault="006F17F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  issued for KO=  issued/ authorized</w:t>
      </w:r>
    </w:p>
    <w:p w14:paraId="1EB7211D" w14:textId="149B6B0C" w:rsidR="006F17FD" w:rsidRPr="00D627F5" w:rsidRDefault="006F17F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ab/>
      </w:r>
      <w:r w:rsidRPr="00D627F5">
        <w:rPr>
          <w:rFonts w:ascii="Times New Roman" w:hAnsi="Times New Roman" w:cs="Times New Roman"/>
          <w:sz w:val="24"/>
          <w:szCs w:val="24"/>
        </w:rPr>
        <w:tab/>
      </w:r>
      <w:r w:rsidRPr="00D627F5">
        <w:rPr>
          <w:rFonts w:ascii="Times New Roman" w:hAnsi="Times New Roman" w:cs="Times New Roman"/>
          <w:sz w:val="24"/>
          <w:szCs w:val="24"/>
        </w:rPr>
        <w:tab/>
      </w:r>
      <w:r w:rsidR="00CC35AD" w:rsidRPr="00D627F5">
        <w:rPr>
          <w:rFonts w:ascii="Times New Roman" w:hAnsi="Times New Roman" w:cs="Times New Roman"/>
          <w:sz w:val="24"/>
          <w:szCs w:val="24"/>
        </w:rPr>
        <w:t>(1488/3600) *100</w:t>
      </w:r>
    </w:p>
    <w:p w14:paraId="6665346F" w14:textId="7C701E96" w:rsidR="006F17FD" w:rsidRPr="00D627F5" w:rsidRDefault="00CC35AD"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ab/>
      </w:r>
      <w:r w:rsidRPr="00D627F5">
        <w:rPr>
          <w:rFonts w:ascii="Times New Roman" w:hAnsi="Times New Roman" w:cs="Times New Roman"/>
          <w:sz w:val="24"/>
          <w:szCs w:val="24"/>
        </w:rPr>
        <w:tab/>
      </w:r>
      <w:r w:rsidRPr="00D627F5">
        <w:rPr>
          <w:rFonts w:ascii="Times New Roman" w:hAnsi="Times New Roman" w:cs="Times New Roman"/>
          <w:sz w:val="24"/>
          <w:szCs w:val="24"/>
        </w:rPr>
        <w:tab/>
        <w:t>41.33%</w:t>
      </w:r>
    </w:p>
    <w:p w14:paraId="6DA682FE" w14:textId="7DB908C0" w:rsidR="00BD1584"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How many shares are held as Treasury Stocks by KO and PEP at 12/31/2014</w:t>
      </w:r>
    </w:p>
    <w:p w14:paraId="2FCDA605" w14:textId="3BC221AE" w:rsidR="00CC35AD" w:rsidRPr="00D627F5" w:rsidRDefault="00CC35AD"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Shares held as Treasury Stocks by KO = 2674</w:t>
      </w:r>
    </w:p>
    <w:p w14:paraId="2192E75B" w14:textId="4B6C6C53" w:rsidR="002445E1" w:rsidRPr="00D627F5" w:rsidRDefault="002445E1"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The PEP does not have  does not have  shares held as Treasury Stock as at 12/31/2014.</w:t>
      </w:r>
    </w:p>
    <w:p w14:paraId="27FC2CCE" w14:textId="2F7090CA" w:rsidR="00BD1584"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What amounts of cash dividends per share were declared by KO and PEP in 2014? What were the dollar amount effects of the cash dividends on each company’s stockholders’ equity?</w:t>
      </w:r>
    </w:p>
    <w:p w14:paraId="0BC1CC90" w14:textId="3F792C5E" w:rsidR="00207FFD" w:rsidRPr="00D627F5" w:rsidRDefault="002445E1"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lastRenderedPageBreak/>
        <w:t xml:space="preserve">The amount of Cash </w:t>
      </w:r>
      <w:r w:rsidR="00554F2A" w:rsidRPr="00D627F5">
        <w:rPr>
          <w:rFonts w:ascii="Times New Roman" w:hAnsi="Times New Roman" w:cs="Times New Roman"/>
          <w:sz w:val="24"/>
          <w:szCs w:val="24"/>
        </w:rPr>
        <w:t xml:space="preserve"> dividends per share declared by Coca-Cola was $13154 million while that of PepsiCo  was $ 4076million. The Coca-Col amount of cash </w:t>
      </w:r>
      <w:r w:rsidR="000A10EC" w:rsidRPr="00D627F5">
        <w:rPr>
          <w:rFonts w:ascii="Times New Roman" w:hAnsi="Times New Roman" w:cs="Times New Roman"/>
          <w:sz w:val="24"/>
          <w:szCs w:val="24"/>
        </w:rPr>
        <w:t>dividends</w:t>
      </w:r>
      <w:r w:rsidR="00554F2A" w:rsidRPr="00D627F5">
        <w:rPr>
          <w:rFonts w:ascii="Times New Roman" w:hAnsi="Times New Roman" w:cs="Times New Roman"/>
          <w:sz w:val="24"/>
          <w:szCs w:val="24"/>
        </w:rPr>
        <w:t xml:space="preserve"> is $ 5350 million while the PepsiCo dollar amount of cash </w:t>
      </w:r>
      <w:r w:rsidR="000A10EC" w:rsidRPr="00D627F5">
        <w:rPr>
          <w:rFonts w:ascii="Times New Roman" w:hAnsi="Times New Roman" w:cs="Times New Roman"/>
          <w:sz w:val="24"/>
          <w:szCs w:val="24"/>
        </w:rPr>
        <w:t>dividends</w:t>
      </w:r>
      <w:r w:rsidR="00554F2A" w:rsidRPr="00D627F5">
        <w:rPr>
          <w:rFonts w:ascii="Times New Roman" w:hAnsi="Times New Roman" w:cs="Times New Roman"/>
          <w:sz w:val="24"/>
          <w:szCs w:val="24"/>
        </w:rPr>
        <w:t xml:space="preserve"> total is $ 3841 million</w:t>
      </w:r>
    </w:p>
    <w:p w14:paraId="104FAF49" w14:textId="56F9F992" w:rsidR="00BD1584"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What are KO</w:t>
      </w:r>
      <w:r w:rsidR="00037430" w:rsidRPr="00D627F5">
        <w:rPr>
          <w:rFonts w:ascii="Times New Roman" w:hAnsi="Times New Roman" w:cs="Times New Roman"/>
          <w:sz w:val="24"/>
          <w:szCs w:val="24"/>
        </w:rPr>
        <w:t>’s</w:t>
      </w:r>
      <w:r w:rsidRPr="00D627F5">
        <w:rPr>
          <w:rFonts w:ascii="Times New Roman" w:hAnsi="Times New Roman" w:cs="Times New Roman"/>
          <w:sz w:val="24"/>
          <w:szCs w:val="24"/>
        </w:rPr>
        <w:t xml:space="preserve"> and PEP’s payout ratios for 2014?</w:t>
      </w:r>
    </w:p>
    <w:p w14:paraId="4EE848C1" w14:textId="3F5D6BDC"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The dividend per share of  Coca-Cola is  $ 1.22  </w:t>
      </w:r>
      <w:r w:rsidR="000A10EC" w:rsidRPr="00D627F5">
        <w:rPr>
          <w:rFonts w:ascii="Times New Roman" w:hAnsi="Times New Roman" w:cs="Times New Roman"/>
          <w:sz w:val="24"/>
          <w:szCs w:val="24"/>
        </w:rPr>
        <w:t>while</w:t>
      </w:r>
      <w:r w:rsidRPr="00D627F5">
        <w:rPr>
          <w:rFonts w:ascii="Times New Roman" w:hAnsi="Times New Roman" w:cs="Times New Roman"/>
          <w:sz w:val="24"/>
          <w:szCs w:val="24"/>
        </w:rPr>
        <w:t xml:space="preserve"> its EPS is $1.6. the annual </w:t>
      </w:r>
      <w:r w:rsidR="000A10EC" w:rsidRPr="00D627F5">
        <w:rPr>
          <w:rFonts w:ascii="Times New Roman" w:hAnsi="Times New Roman" w:cs="Times New Roman"/>
          <w:sz w:val="24"/>
          <w:szCs w:val="24"/>
        </w:rPr>
        <w:t>payout</w:t>
      </w:r>
      <w:r w:rsidRPr="00D627F5">
        <w:rPr>
          <w:rFonts w:ascii="Times New Roman" w:hAnsi="Times New Roman" w:cs="Times New Roman"/>
          <w:sz w:val="24"/>
          <w:szCs w:val="24"/>
        </w:rPr>
        <w:t xml:space="preserve"> ratio is therefore:</w:t>
      </w:r>
    </w:p>
    <w:p w14:paraId="7413950F" w14:textId="18E36920"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1.22/1.6 </w:t>
      </w:r>
    </w:p>
    <w:p w14:paraId="6744AEBD" w14:textId="76972C74"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xml:space="preserve">= 0.7625 </w:t>
      </w:r>
    </w:p>
    <w:p w14:paraId="20916324" w14:textId="11C291CD"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=76.25%</w:t>
      </w:r>
    </w:p>
    <w:p w14:paraId="70602B61" w14:textId="112645C8"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PepsiCo as annual dividend per share of $2.44 and EPS of $4.27.</w:t>
      </w:r>
    </w:p>
    <w:p w14:paraId="044FD497" w14:textId="71353BD7"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 the payout ratio is therefore;</w:t>
      </w:r>
    </w:p>
    <w:p w14:paraId="22459960" w14:textId="7FDB18ED"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2.44/4.27</w:t>
      </w:r>
    </w:p>
    <w:p w14:paraId="1358370F" w14:textId="47CBC095" w:rsidR="00554F2A"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0.5714</w:t>
      </w:r>
    </w:p>
    <w:p w14:paraId="5C042BD4" w14:textId="4AA6A5B5" w:rsidR="00BD1584" w:rsidRPr="00D627F5" w:rsidRDefault="00554F2A"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t>57.14%</w:t>
      </w:r>
    </w:p>
    <w:p w14:paraId="27125994" w14:textId="77777777" w:rsidR="00BD1584" w:rsidRPr="00D627F5" w:rsidRDefault="00BD1584" w:rsidP="00D627F5">
      <w:pPr>
        <w:spacing w:line="480" w:lineRule="auto"/>
        <w:rPr>
          <w:rFonts w:ascii="Times New Roman" w:hAnsi="Times New Roman" w:cs="Times New Roman"/>
          <w:b/>
          <w:sz w:val="24"/>
          <w:szCs w:val="24"/>
        </w:rPr>
      </w:pPr>
      <w:r w:rsidRPr="00D627F5">
        <w:rPr>
          <w:rFonts w:ascii="Times New Roman" w:hAnsi="Times New Roman" w:cs="Times New Roman"/>
          <w:b/>
          <w:sz w:val="24"/>
          <w:szCs w:val="24"/>
        </w:rPr>
        <w:t>Revenue Recognition:</w:t>
      </w:r>
    </w:p>
    <w:p w14:paraId="06035C62" w14:textId="7DFFB5DA" w:rsidR="00BD1584"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What were KO’s and PEP’s net revenue (sales) for the year 2014? Which company increased its revenue more (dollars and percentage) from 2013 to 2014?</w:t>
      </w:r>
    </w:p>
    <w:p w14:paraId="4C360346" w14:textId="6698636B" w:rsidR="00554F2A" w:rsidRPr="00D627F5" w:rsidRDefault="000A10EC"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 xml:space="preserve"> The PepsiCo net revenue  was $66,683 million while the Coca-Cola net sales was $45,998 millions  </w:t>
      </w:r>
      <w:r w:rsidR="00D627F5" w:rsidRPr="00D627F5">
        <w:rPr>
          <w:rFonts w:ascii="Times New Roman" w:hAnsi="Times New Roman" w:cs="Times New Roman"/>
          <w:sz w:val="24"/>
          <w:szCs w:val="24"/>
        </w:rPr>
        <w:t>for</w:t>
      </w:r>
      <w:r w:rsidRPr="00D627F5">
        <w:rPr>
          <w:rFonts w:ascii="Times New Roman" w:hAnsi="Times New Roman" w:cs="Times New Roman"/>
          <w:sz w:val="24"/>
          <w:szCs w:val="24"/>
        </w:rPr>
        <w:t xml:space="preserve"> the year 2014. Coca-Cola decreased its sales by $856million  while the PepsiCo increased revenue by 268 million. </w:t>
      </w:r>
      <w:r w:rsidR="00D627F5" w:rsidRPr="00D627F5">
        <w:rPr>
          <w:rFonts w:ascii="Times New Roman" w:hAnsi="Times New Roman" w:cs="Times New Roman"/>
          <w:sz w:val="24"/>
          <w:szCs w:val="24"/>
        </w:rPr>
        <w:t>Therefore,</w:t>
      </w:r>
      <w:r w:rsidRPr="00D627F5">
        <w:rPr>
          <w:rFonts w:ascii="Times New Roman" w:hAnsi="Times New Roman" w:cs="Times New Roman"/>
          <w:sz w:val="24"/>
          <w:szCs w:val="24"/>
        </w:rPr>
        <w:t xml:space="preserve"> PepsiCo increased its net sales more.</w:t>
      </w:r>
    </w:p>
    <w:p w14:paraId="49FBD85E" w14:textId="27A8B881" w:rsidR="00BD1584" w:rsidRPr="00D627F5" w:rsidRDefault="00634439"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Are R</w:t>
      </w:r>
      <w:r w:rsidR="00BD1584" w:rsidRPr="00D627F5">
        <w:rPr>
          <w:rFonts w:ascii="Times New Roman" w:hAnsi="Times New Roman" w:cs="Times New Roman"/>
          <w:sz w:val="24"/>
          <w:szCs w:val="24"/>
        </w:rPr>
        <w:t>evenue Recognition policies of KO and PEP similar? Explain.</w:t>
      </w:r>
    </w:p>
    <w:p w14:paraId="0EBAF5D9" w14:textId="7E6F2735" w:rsidR="000A10EC" w:rsidRPr="00D627F5" w:rsidRDefault="00D627F5" w:rsidP="00D627F5">
      <w:pPr>
        <w:pStyle w:val="ListParagraph"/>
        <w:spacing w:line="480" w:lineRule="auto"/>
        <w:rPr>
          <w:rFonts w:ascii="Times New Roman" w:hAnsi="Times New Roman" w:cs="Times New Roman"/>
          <w:sz w:val="24"/>
          <w:szCs w:val="24"/>
        </w:rPr>
      </w:pPr>
      <w:r w:rsidRPr="00D627F5">
        <w:rPr>
          <w:rFonts w:ascii="Times New Roman" w:hAnsi="Times New Roman" w:cs="Times New Roman"/>
          <w:sz w:val="24"/>
          <w:szCs w:val="24"/>
        </w:rPr>
        <w:lastRenderedPageBreak/>
        <w:t>Yes,</w:t>
      </w:r>
      <w:r w:rsidR="000A10EC" w:rsidRPr="00D627F5">
        <w:rPr>
          <w:rFonts w:ascii="Times New Roman" w:hAnsi="Times New Roman" w:cs="Times New Roman"/>
          <w:sz w:val="24"/>
          <w:szCs w:val="24"/>
        </w:rPr>
        <w:t xml:space="preserve"> they are similar. This is because in both, revenue is recognized upon shipment of goods to the buyers.</w:t>
      </w:r>
    </w:p>
    <w:p w14:paraId="5DA873E6" w14:textId="77777777" w:rsidR="00BD1584" w:rsidRPr="00D627F5" w:rsidRDefault="00BD1584" w:rsidP="00D627F5">
      <w:pPr>
        <w:pStyle w:val="ListParagraph"/>
        <w:numPr>
          <w:ilvl w:val="0"/>
          <w:numId w:val="2"/>
        </w:numPr>
        <w:spacing w:line="480" w:lineRule="auto"/>
        <w:rPr>
          <w:rFonts w:ascii="Times New Roman" w:hAnsi="Times New Roman" w:cs="Times New Roman"/>
          <w:sz w:val="24"/>
          <w:szCs w:val="24"/>
        </w:rPr>
      </w:pPr>
      <w:r w:rsidRPr="00D627F5">
        <w:rPr>
          <w:rFonts w:ascii="Times New Roman" w:hAnsi="Times New Roman" w:cs="Times New Roman"/>
          <w:sz w:val="24"/>
          <w:szCs w:val="24"/>
        </w:rPr>
        <w:t>In which foreign countries (geographic areas) did KO and PEP experience significant revenues in 2014? Compare the amounts of foreign revenues to U.S. revenues for both KO and PEP</w:t>
      </w:r>
      <w:r w:rsidR="00A30BC4" w:rsidRPr="00D627F5">
        <w:rPr>
          <w:rFonts w:ascii="Times New Roman" w:hAnsi="Times New Roman" w:cs="Times New Roman"/>
          <w:sz w:val="24"/>
          <w:szCs w:val="24"/>
        </w:rPr>
        <w:t>.</w:t>
      </w:r>
    </w:p>
    <w:p w14:paraId="22733205" w14:textId="42631107" w:rsidR="000270C6" w:rsidRPr="00D627F5" w:rsidRDefault="00D627F5" w:rsidP="00D627F5">
      <w:pPr>
        <w:spacing w:line="480" w:lineRule="auto"/>
        <w:ind w:left="360"/>
        <w:rPr>
          <w:rFonts w:ascii="Times New Roman" w:hAnsi="Times New Roman" w:cs="Times New Roman"/>
          <w:sz w:val="24"/>
          <w:szCs w:val="24"/>
        </w:rPr>
      </w:pPr>
      <w:r w:rsidRPr="00D627F5">
        <w:rPr>
          <w:rFonts w:ascii="Times New Roman" w:hAnsi="Times New Roman" w:cs="Times New Roman"/>
          <w:sz w:val="24"/>
          <w:szCs w:val="24"/>
        </w:rPr>
        <w:t xml:space="preserve">Significant revenues for the two countries were experienced in United States. For PEP, 51%  of the revenue in 2014 was derived from United States while </w:t>
      </w:r>
    </w:p>
    <w:p w14:paraId="3852C022" w14:textId="77777777" w:rsidR="00025A7B" w:rsidRPr="00D627F5" w:rsidRDefault="00025A7B" w:rsidP="00D627F5">
      <w:pPr>
        <w:spacing w:line="480" w:lineRule="auto"/>
        <w:ind w:left="360"/>
        <w:rPr>
          <w:rFonts w:ascii="Times New Roman" w:hAnsi="Times New Roman" w:cs="Times New Roman"/>
          <w:sz w:val="24"/>
          <w:szCs w:val="24"/>
        </w:rPr>
      </w:pPr>
    </w:p>
    <w:p w14:paraId="211B945B" w14:textId="77777777" w:rsidR="00C5545A" w:rsidRPr="00D627F5" w:rsidRDefault="00C5545A" w:rsidP="00D627F5">
      <w:pPr>
        <w:spacing w:line="480" w:lineRule="auto"/>
        <w:rPr>
          <w:rFonts w:ascii="Times New Roman" w:hAnsi="Times New Roman" w:cs="Times New Roman"/>
          <w:i/>
          <w:sz w:val="24"/>
          <w:szCs w:val="24"/>
        </w:rPr>
      </w:pPr>
    </w:p>
    <w:sectPr w:rsidR="00C5545A" w:rsidRPr="00D627F5" w:rsidSect="00D627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2820B" w14:textId="77777777" w:rsidR="00A646DE" w:rsidRDefault="00A646DE" w:rsidP="00D627F5">
      <w:pPr>
        <w:spacing w:after="0" w:line="240" w:lineRule="auto"/>
      </w:pPr>
      <w:r>
        <w:separator/>
      </w:r>
    </w:p>
  </w:endnote>
  <w:endnote w:type="continuationSeparator" w:id="0">
    <w:p w14:paraId="42940F2A" w14:textId="77777777" w:rsidR="00A646DE" w:rsidRDefault="00A646DE" w:rsidP="00D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2AD00" w14:textId="77777777" w:rsidR="00A646DE" w:rsidRDefault="00A646DE" w:rsidP="00D627F5">
      <w:pPr>
        <w:spacing w:after="0" w:line="240" w:lineRule="auto"/>
      </w:pPr>
      <w:r>
        <w:separator/>
      </w:r>
    </w:p>
  </w:footnote>
  <w:footnote w:type="continuationSeparator" w:id="0">
    <w:p w14:paraId="1F89BF38" w14:textId="77777777" w:rsidR="00A646DE" w:rsidRDefault="00A646DE" w:rsidP="00D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2926222"/>
      <w:docPartObj>
        <w:docPartGallery w:val="Page Numbers (Top of Page)"/>
        <w:docPartUnique/>
      </w:docPartObj>
    </w:sdtPr>
    <w:sdtEndPr>
      <w:rPr>
        <w:noProof/>
      </w:rPr>
    </w:sdtEndPr>
    <w:sdtContent>
      <w:p w14:paraId="431502D9" w14:textId="5CD6F141" w:rsidR="00D627F5" w:rsidRDefault="00D627F5">
        <w:pPr>
          <w:pStyle w:val="Header"/>
          <w:jc w:val="right"/>
        </w:pPr>
        <w:r>
          <w:t xml:space="preserve">ACCOUNTING PROJECT                                                                                                                                               </w:t>
        </w:r>
        <w:r>
          <w:fldChar w:fldCharType="begin"/>
        </w:r>
        <w:r>
          <w:instrText xml:space="preserve"> PAGE   \* MERGEFORMAT </w:instrText>
        </w:r>
        <w:r>
          <w:fldChar w:fldCharType="separate"/>
        </w:r>
        <w:r>
          <w:rPr>
            <w:noProof/>
          </w:rPr>
          <w:t>2</w:t>
        </w:r>
        <w:r>
          <w:rPr>
            <w:noProof/>
          </w:rPr>
          <w:fldChar w:fldCharType="end"/>
        </w:r>
      </w:p>
    </w:sdtContent>
  </w:sdt>
  <w:p w14:paraId="7E0CA7A8" w14:textId="77777777" w:rsidR="00D627F5" w:rsidRDefault="00D62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95A92" w14:textId="55A112D9" w:rsidR="00D627F5" w:rsidRDefault="00D627F5">
    <w:pPr>
      <w:pStyle w:val="Header"/>
    </w:pPr>
    <w:r>
      <w:t>Running head: ACCOUNTING PROJECT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C62E0"/>
    <w:multiLevelType w:val="hybridMultilevel"/>
    <w:tmpl w:val="3BC6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C03C7"/>
    <w:multiLevelType w:val="hybridMultilevel"/>
    <w:tmpl w:val="94120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0C6"/>
    <w:rsid w:val="00025A7B"/>
    <w:rsid w:val="000270C6"/>
    <w:rsid w:val="00037430"/>
    <w:rsid w:val="00065A48"/>
    <w:rsid w:val="000A10EC"/>
    <w:rsid w:val="000D1AEC"/>
    <w:rsid w:val="000E64F1"/>
    <w:rsid w:val="00207FFD"/>
    <w:rsid w:val="002445E1"/>
    <w:rsid w:val="002875B1"/>
    <w:rsid w:val="002D3448"/>
    <w:rsid w:val="00304D5C"/>
    <w:rsid w:val="003427F2"/>
    <w:rsid w:val="00375443"/>
    <w:rsid w:val="00386E48"/>
    <w:rsid w:val="00443D84"/>
    <w:rsid w:val="004B3E7A"/>
    <w:rsid w:val="00554F2A"/>
    <w:rsid w:val="0057480D"/>
    <w:rsid w:val="005F2F3C"/>
    <w:rsid w:val="006005BE"/>
    <w:rsid w:val="00611F19"/>
    <w:rsid w:val="00634439"/>
    <w:rsid w:val="006F17FD"/>
    <w:rsid w:val="00785A56"/>
    <w:rsid w:val="00816D4A"/>
    <w:rsid w:val="00876756"/>
    <w:rsid w:val="00A30BC4"/>
    <w:rsid w:val="00A646DE"/>
    <w:rsid w:val="00A73471"/>
    <w:rsid w:val="00AF6E40"/>
    <w:rsid w:val="00BD1584"/>
    <w:rsid w:val="00BD2133"/>
    <w:rsid w:val="00BF2227"/>
    <w:rsid w:val="00BF6E42"/>
    <w:rsid w:val="00C5545A"/>
    <w:rsid w:val="00CC35AD"/>
    <w:rsid w:val="00CC36C7"/>
    <w:rsid w:val="00D627F5"/>
    <w:rsid w:val="00E5019C"/>
    <w:rsid w:val="00EF35CE"/>
    <w:rsid w:val="00F959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42EEF"/>
  <w15:chartTrackingRefBased/>
  <w15:docId w15:val="{28F17684-3F9C-42AC-B5AC-4A2AE716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0C6"/>
    <w:rPr>
      <w:color w:val="0563C1" w:themeColor="hyperlink"/>
      <w:u w:val="single"/>
    </w:rPr>
  </w:style>
  <w:style w:type="paragraph" w:styleId="ListParagraph">
    <w:name w:val="List Paragraph"/>
    <w:basedOn w:val="Normal"/>
    <w:uiPriority w:val="34"/>
    <w:qFormat/>
    <w:rsid w:val="000270C6"/>
    <w:pPr>
      <w:ind w:left="720"/>
      <w:contextualSpacing/>
    </w:pPr>
  </w:style>
  <w:style w:type="character" w:styleId="FollowedHyperlink">
    <w:name w:val="FollowedHyperlink"/>
    <w:basedOn w:val="DefaultParagraphFont"/>
    <w:uiPriority w:val="99"/>
    <w:semiHidden/>
    <w:unhideWhenUsed/>
    <w:rsid w:val="00611F19"/>
    <w:rPr>
      <w:color w:val="954F72" w:themeColor="followedHyperlink"/>
      <w:u w:val="single"/>
    </w:rPr>
  </w:style>
  <w:style w:type="table" w:styleId="TableGrid">
    <w:name w:val="Table Grid"/>
    <w:basedOn w:val="TableNormal"/>
    <w:uiPriority w:val="39"/>
    <w:rsid w:val="005F2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F5"/>
  </w:style>
  <w:style w:type="paragraph" w:styleId="Footer">
    <w:name w:val="footer"/>
    <w:basedOn w:val="Normal"/>
    <w:link w:val="FooterChar"/>
    <w:uiPriority w:val="99"/>
    <w:unhideWhenUsed/>
    <w:rsid w:val="00D62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Tony</dc:creator>
  <cp:keywords/>
  <dc:description/>
  <cp:lastModifiedBy>HP</cp:lastModifiedBy>
  <cp:revision>2</cp:revision>
  <dcterms:created xsi:type="dcterms:W3CDTF">2020-04-29T01:21:00Z</dcterms:created>
  <dcterms:modified xsi:type="dcterms:W3CDTF">2020-04-29T01:21:00Z</dcterms:modified>
</cp:coreProperties>
</file>